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宋体" w:cs="Times New Roman"/>
          <w:bCs/>
          <w:color w:val="auto"/>
          <w:sz w:val="36"/>
          <w:szCs w:val="36"/>
          <w:highlight w:val="none"/>
          <w:lang w:eastAsia="zh-CN" w:bidi="en-US"/>
        </w:rPr>
      </w:pPr>
      <w:r>
        <w:rPr>
          <w:rFonts w:hint="eastAsia" w:ascii="Times New Roman" w:hAnsi="Times New Roman" w:eastAsia="宋体" w:cs="Times New Roman"/>
          <w:bCs/>
          <w:color w:val="auto"/>
          <w:sz w:val="36"/>
          <w:szCs w:val="36"/>
          <w:highlight w:val="none"/>
          <w:lang w:eastAsia="zh-CN" w:bidi="en-US"/>
        </w:rPr>
        <w:t>北京市朝阳区酒仙桥旧城区改建项目1019-0005、0006、0007地块、孙河乡前苇沟组团棚户区改造土地开发项目3006-006、008、009、010、011地块、中关村朝阳园北区2905-0017地块</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0" w:name="_Toc19717"/>
      <w:r>
        <w:rPr>
          <w:rFonts w:hint="default" w:ascii="Times New Roman" w:hAnsi="Times New Roman" w:eastAsia="宋体" w:cs="Times New Roman"/>
          <w:b w:val="0"/>
          <w:bCs w:val="0"/>
          <w:color w:val="auto"/>
          <w:sz w:val="36"/>
          <w:szCs w:val="36"/>
          <w:highlight w:val="none"/>
        </w:rPr>
        <w:t>国有建设用地使用权</w:t>
      </w:r>
      <w:bookmarkStart w:id="1" w:name="_Toc41366853"/>
      <w:bookmarkStart w:id="2" w:name="_Toc41366787"/>
      <w:r>
        <w:rPr>
          <w:rFonts w:hint="default" w:ascii="Times New Roman" w:hAnsi="Times New Roman" w:eastAsia="宋体" w:cs="Times New Roman"/>
          <w:b w:val="0"/>
          <w:bCs w:val="0"/>
          <w:color w:val="auto"/>
          <w:sz w:val="36"/>
          <w:szCs w:val="36"/>
          <w:highlight w:val="none"/>
        </w:rPr>
        <w:t>挂牌</w:t>
      </w:r>
      <w:bookmarkStart w:id="3" w:name="_Toc11484"/>
      <w:r>
        <w:rPr>
          <w:rFonts w:hint="default" w:ascii="Times New Roman" w:hAnsi="Times New Roman" w:eastAsia="宋体" w:cs="Times New Roman"/>
          <w:b w:val="0"/>
          <w:bCs w:val="0"/>
          <w:color w:val="auto"/>
          <w:sz w:val="36"/>
          <w:szCs w:val="36"/>
          <w:highlight w:val="none"/>
        </w:rPr>
        <w:t>出让公告</w:t>
      </w:r>
      <w:bookmarkEnd w:id="0"/>
      <w:bookmarkEnd w:id="1"/>
      <w:bookmarkEnd w:id="2"/>
      <w:bookmarkEnd w:id="3"/>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lang w:eastAsia="zh-CN"/>
        </w:rPr>
        <w:t>北京市朝阳区酒仙桥旧城区改建项目1019-0005、0006、0007地块、孙河乡前苇沟组团棚户区改造土地开发项目3006-006、008、009、010、011地块、中关村朝阳园北区2905-0017地块</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lang w:val="en-US" w:eastAsia="zh-CN"/>
        </w:rPr>
        <w:t>1019-0005等地块位于朝阳区酒仙桥街道</w:t>
      </w:r>
      <w:r>
        <w:rPr>
          <w:rFonts w:hint="eastAsia" w:ascii="Times New Roman" w:hAnsi="Times New Roman" w:eastAsia="仿宋_GB2312" w:cs="Times New Roman"/>
          <w:color w:val="auto"/>
          <w:sz w:val="28"/>
          <w:highlight w:val="none"/>
          <w:lang w:val="en-US" w:eastAsia="zh-CN"/>
        </w:rPr>
        <w:t>、</w:t>
      </w:r>
      <w:r>
        <w:rPr>
          <w:rFonts w:hint="default" w:ascii="Times New Roman" w:hAnsi="Times New Roman" w:eastAsia="仿宋_GB2312" w:cs="Times New Roman"/>
          <w:color w:val="auto"/>
          <w:sz w:val="28"/>
          <w:highlight w:val="none"/>
          <w:lang w:val="en-US" w:eastAsia="zh-CN"/>
        </w:rPr>
        <w:t>3006-006等地块位于孙河乡前苇沟组团</w:t>
      </w:r>
      <w:r>
        <w:rPr>
          <w:rFonts w:hint="eastAsia" w:ascii="Times New Roman" w:hAnsi="Times New Roman" w:eastAsia="仿宋_GB2312" w:cs="Times New Roman"/>
          <w:color w:val="auto"/>
          <w:sz w:val="28"/>
          <w:highlight w:val="none"/>
          <w:lang w:val="en-US" w:eastAsia="zh-CN"/>
        </w:rPr>
        <w:t>、</w:t>
      </w:r>
      <w:r>
        <w:rPr>
          <w:rFonts w:hint="default" w:ascii="Times New Roman" w:hAnsi="Times New Roman" w:eastAsia="仿宋_GB2312" w:cs="Times New Roman"/>
          <w:color w:val="auto"/>
          <w:sz w:val="28"/>
          <w:highlight w:val="none"/>
          <w:lang w:val="en-US" w:eastAsia="zh-CN"/>
        </w:rPr>
        <w:t>2905-0017地块位于中关村朝阳园北区</w:t>
      </w:r>
      <w:r>
        <w:rPr>
          <w:rFonts w:hint="default" w:ascii="Times New Roman" w:hAnsi="Times New Roman" w:eastAsia="仿宋_GB2312" w:cs="Times New Roman"/>
          <w:color w:val="auto"/>
          <w:sz w:val="28"/>
          <w:highlight w:val="none"/>
        </w:rPr>
        <w:t>。四至范围详见</w:t>
      </w:r>
      <w:r>
        <w:rPr>
          <w:rFonts w:hint="eastAsia" w:ascii="Times New Roman" w:hAnsi="Times New Roman" w:eastAsia="仿宋_GB2312" w:cs="Times New Roman"/>
          <w:color w:val="auto"/>
          <w:sz w:val="28"/>
          <w:highlight w:val="none"/>
        </w:rPr>
        <w:t>《“多规合一”协同平台审核意见的函》（京规自（</w:t>
      </w:r>
      <w:r>
        <w:rPr>
          <w:rFonts w:hint="eastAsia" w:ascii="Times New Roman" w:hAnsi="Times New Roman" w:eastAsia="仿宋_GB2312" w:cs="Times New Roman"/>
          <w:color w:val="auto"/>
          <w:sz w:val="28"/>
          <w:highlight w:val="none"/>
          <w:lang w:eastAsia="zh-CN"/>
        </w:rPr>
        <w:t>朝</w:t>
      </w:r>
      <w:r>
        <w:rPr>
          <w:rFonts w:hint="eastAsia" w:ascii="Times New Roman" w:hAnsi="Times New Roman" w:eastAsia="仿宋_GB2312" w:cs="Times New Roman"/>
          <w:color w:val="auto"/>
          <w:sz w:val="28"/>
          <w:highlight w:val="none"/>
        </w:rPr>
        <w:t>）供审函[202</w:t>
      </w:r>
      <w:r>
        <w:rPr>
          <w:rFonts w:hint="eastAsia" w:ascii="Times New Roman" w:hAnsi="Times New Roman" w:eastAsia="仿宋_GB2312" w:cs="Times New Roman"/>
          <w:color w:val="auto"/>
          <w:sz w:val="28"/>
          <w:highlight w:val="none"/>
          <w:lang w:val="en-US"/>
        </w:rPr>
        <w:t>4</w:t>
      </w:r>
      <w:r>
        <w:rPr>
          <w:rFonts w:hint="eastAsia" w:ascii="Times New Roman" w:hAnsi="Times New Roman" w:eastAsia="仿宋_GB2312" w:cs="Times New Roman"/>
          <w:color w:val="auto"/>
          <w:sz w:val="28"/>
          <w:highlight w:val="none"/>
        </w:rPr>
        <w:t>]000</w:t>
      </w:r>
      <w:r>
        <w:rPr>
          <w:rFonts w:hint="eastAsia" w:ascii="Times New Roman" w:hAnsi="Times New Roman" w:eastAsia="仿宋_GB2312" w:cs="Times New Roman"/>
          <w:color w:val="auto"/>
          <w:sz w:val="28"/>
          <w:highlight w:val="none"/>
          <w:lang w:val="en-US"/>
        </w:rPr>
        <w:t>5</w:t>
      </w:r>
      <w:r>
        <w:rPr>
          <w:rFonts w:hint="eastAsia" w:ascii="Times New Roman" w:hAnsi="Times New Roman" w:eastAsia="仿宋_GB2312" w:cs="Times New Roman"/>
          <w:color w:val="auto"/>
          <w:sz w:val="28"/>
          <w:highlight w:val="none"/>
        </w:rPr>
        <w:t>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p>
      <w:pPr>
        <w:pStyle w:val="2"/>
        <w:rPr>
          <w:rFonts w:hint="default" w:ascii="Times New Roman" w:hAnsi="Times New Roman" w:eastAsia="仿宋_GB2312" w:cs="Times New Roman"/>
          <w:color w:val="auto"/>
          <w:sz w:val="28"/>
          <w:highlight w:val="none"/>
        </w:rPr>
      </w:pPr>
    </w:p>
    <w:p>
      <w:pPr>
        <w:rPr>
          <w:rFonts w:hint="default" w:ascii="Times New Roman" w:hAnsi="Times New Roman" w:eastAsia="仿宋_GB2312" w:cs="Times New Roman"/>
          <w:color w:val="auto"/>
          <w:sz w:val="28"/>
          <w:highlight w:val="none"/>
        </w:rPr>
      </w:pPr>
    </w:p>
    <w:p>
      <w:pPr>
        <w:pStyle w:val="2"/>
        <w:rPr>
          <w:rFonts w:hint="default" w:ascii="Times New Roman" w:hAnsi="Times New Roman" w:eastAsia="仿宋_GB2312" w:cs="Times New Roman"/>
          <w:color w:val="auto"/>
          <w:sz w:val="28"/>
          <w:highlight w:val="none"/>
        </w:rPr>
      </w:pPr>
    </w:p>
    <w:p>
      <w:pPr>
        <w:rPr>
          <w:rFonts w:hint="default"/>
        </w:rPr>
      </w:pPr>
    </w:p>
    <w:tbl>
      <w:tblPr>
        <w:tblStyle w:val="7"/>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680"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（平方米）</w:t>
            </w:r>
          </w:p>
        </w:tc>
        <w:tc>
          <w:tcPr>
            <w:tcW w:w="1739"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default"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default"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680" w:type="dxa"/>
            <w:vAlign w:val="center"/>
          </w:tcPr>
          <w:p>
            <w:pPr>
              <w:pStyle w:val="2"/>
              <w:spacing w:line="240" w:lineRule="auto"/>
              <w:ind w:left="-20" w:leftChars="-10" w:hanging="1"/>
              <w:jc w:val="center"/>
              <w:rPr>
                <w:rFonts w:hint="default" w:ascii="Times New Roman" w:hAnsi="Times New Roman" w:eastAsia="仿宋_GB2312" w:cs="Times New Roman"/>
                <w:color w:val="auto"/>
                <w:spacing w:val="-4"/>
                <w:sz w:val="24"/>
                <w:szCs w:val="24"/>
                <w:highlight w:val="none"/>
              </w:rPr>
            </w:pPr>
            <w:r>
              <w:rPr>
                <w:rFonts w:hint="default" w:ascii="Times New Roman" w:hAnsi="Times New Roman" w:eastAsia="仿宋_GB2312" w:cs="Times New Roman"/>
                <w:color w:val="auto"/>
                <w:spacing w:val="-4"/>
                <w:sz w:val="24"/>
                <w:szCs w:val="24"/>
                <w:highlight w:val="none"/>
              </w:rPr>
              <w:t>京土储</w:t>
            </w:r>
            <w:r>
              <w:rPr>
                <w:rFonts w:hint="default" w:ascii="Times New Roman" w:hAnsi="Times New Roman" w:eastAsia="仿宋_GB2312" w:cs="Times New Roman"/>
                <w:color w:val="auto"/>
                <w:spacing w:val="-4"/>
                <w:sz w:val="24"/>
                <w:szCs w:val="24"/>
                <w:highlight w:val="none"/>
                <w:lang w:eastAsia="zh-CN"/>
              </w:rPr>
              <w:t>挂（</w:t>
            </w:r>
            <w:r>
              <w:rPr>
                <w:rFonts w:hint="eastAsia" w:ascii="Times New Roman" w:hAnsi="Times New Roman" w:eastAsia="仿宋_GB2312" w:cs="Times New Roman"/>
                <w:color w:val="auto"/>
                <w:spacing w:val="-4"/>
                <w:sz w:val="24"/>
                <w:szCs w:val="24"/>
                <w:highlight w:val="none"/>
                <w:lang w:eastAsia="zh-CN"/>
              </w:rPr>
              <w:t>朝</w:t>
            </w:r>
            <w:r>
              <w:rPr>
                <w:rFonts w:hint="default" w:ascii="Times New Roman" w:hAnsi="Times New Roman" w:eastAsia="仿宋_GB2312" w:cs="Times New Roman"/>
                <w:color w:val="auto"/>
                <w:spacing w:val="-4"/>
                <w:sz w:val="24"/>
                <w:szCs w:val="24"/>
                <w:highlight w:val="none"/>
                <w:lang w:eastAsia="zh-CN"/>
              </w:rPr>
              <w:t>）</w:t>
            </w:r>
            <w:r>
              <w:rPr>
                <w:rFonts w:hint="default" w:ascii="Times New Roman" w:hAnsi="Times New Roman" w:eastAsia="仿宋_GB2312" w:cs="Times New Roman"/>
                <w:color w:val="auto"/>
                <w:spacing w:val="-4"/>
                <w:sz w:val="24"/>
                <w:szCs w:val="24"/>
                <w:highlight w:val="none"/>
              </w:rPr>
              <w:t>[2024]</w:t>
            </w:r>
            <w:r>
              <w:rPr>
                <w:rFonts w:hint="default" w:ascii="Times New Roman" w:hAnsi="Times New Roman" w:eastAsia="仿宋_GB2312" w:cs="Times New Roman"/>
                <w:color w:val="auto"/>
                <w:spacing w:val="-4"/>
                <w:sz w:val="24"/>
                <w:szCs w:val="24"/>
                <w:highlight w:val="none"/>
                <w:lang w:val="en-US"/>
              </w:rPr>
              <w:t>017</w:t>
            </w:r>
            <w:r>
              <w:rPr>
                <w:rFonts w:hint="default" w:ascii="Times New Roman" w:hAnsi="Times New Roman" w:eastAsia="仿宋_GB2312" w:cs="Times New Roman"/>
                <w:color w:val="auto"/>
                <w:spacing w:val="-4"/>
                <w:sz w:val="24"/>
                <w:szCs w:val="24"/>
                <w:highlight w:val="none"/>
              </w:rPr>
              <w:t>号</w:t>
            </w:r>
          </w:p>
        </w:tc>
        <w:tc>
          <w:tcPr>
            <w:tcW w:w="2348" w:type="dxa"/>
            <w:vAlign w:val="center"/>
          </w:tcPr>
          <w:p>
            <w:pPr>
              <w:spacing w:line="240" w:lineRule="auto"/>
              <w:jc w:val="both"/>
              <w:rPr>
                <w:rFonts w:hint="default" w:ascii="Times New Roman" w:hAnsi="Times New Roman" w:eastAsia="仿宋_GB2312" w:cs="Times New Roman"/>
                <w:color w:val="auto"/>
                <w:sz w:val="24"/>
                <w:highlight w:val="none"/>
              </w:rPr>
            </w:pPr>
            <w:r>
              <w:rPr>
                <w:rFonts w:hint="eastAsia" w:ascii="仿宋_GB2312" w:eastAsia="仿宋_GB2312"/>
                <w:color w:val="auto"/>
                <w:sz w:val="21"/>
                <w:szCs w:val="21"/>
                <w:highlight w:val="none"/>
              </w:rPr>
              <w:t>R2二类居住用地</w:t>
            </w:r>
            <w:r>
              <w:rPr>
                <w:rFonts w:hint="eastAsia" w:ascii="仿宋_GB2312" w:eastAsia="仿宋_GB2312"/>
                <w:color w:val="auto"/>
                <w:sz w:val="21"/>
                <w:szCs w:val="21"/>
                <w:highlight w:val="none"/>
                <w:lang w:eastAsia="zh-CN"/>
              </w:rPr>
              <w:t>、F</w:t>
            </w:r>
            <w:r>
              <w:rPr>
                <w:rFonts w:hint="default"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其他类多功能用地、</w:t>
            </w:r>
            <w:r>
              <w:rPr>
                <w:rFonts w:hint="default" w:ascii="仿宋_GB2312" w:eastAsia="仿宋_GB2312"/>
                <w:color w:val="auto"/>
                <w:sz w:val="21"/>
                <w:szCs w:val="21"/>
                <w:highlight w:val="none"/>
                <w:lang w:val="en-US" w:eastAsia="zh-CN"/>
              </w:rPr>
              <w:t>B1</w:t>
            </w:r>
            <w:r>
              <w:rPr>
                <w:rFonts w:hint="eastAsia" w:ascii="仿宋_GB2312" w:eastAsia="仿宋_GB2312"/>
                <w:color w:val="auto"/>
                <w:sz w:val="21"/>
                <w:szCs w:val="21"/>
                <w:highlight w:val="none"/>
                <w:lang w:val="en-US" w:eastAsia="zh-CN"/>
              </w:rPr>
              <w:t>商业用地、</w:t>
            </w:r>
            <w:r>
              <w:rPr>
                <w:rFonts w:hint="default" w:ascii="仿宋_GB2312" w:eastAsia="仿宋_GB2312"/>
                <w:color w:val="auto"/>
                <w:sz w:val="21"/>
                <w:szCs w:val="21"/>
                <w:highlight w:val="none"/>
                <w:lang w:val="en-US" w:eastAsia="zh-CN"/>
              </w:rPr>
              <w:t>A61</w:t>
            </w:r>
            <w:r>
              <w:rPr>
                <w:rFonts w:hint="eastAsia" w:ascii="仿宋_GB2312" w:eastAsia="仿宋_GB2312"/>
                <w:color w:val="auto"/>
                <w:sz w:val="21"/>
                <w:szCs w:val="21"/>
                <w:highlight w:val="none"/>
                <w:lang w:val="en-US" w:eastAsia="zh-CN"/>
              </w:rPr>
              <w:t>机构养老设施用地、</w:t>
            </w:r>
            <w:r>
              <w:rPr>
                <w:rFonts w:hint="default" w:ascii="仿宋_GB2312" w:eastAsia="仿宋_GB2312"/>
                <w:color w:val="auto"/>
                <w:sz w:val="21"/>
                <w:szCs w:val="21"/>
                <w:highlight w:val="none"/>
                <w:lang w:val="en-US" w:eastAsia="zh-CN"/>
              </w:rPr>
              <w:t>A8</w:t>
            </w:r>
            <w:bookmarkStart w:id="4" w:name="_GoBack"/>
            <w:bookmarkEnd w:id="4"/>
            <w:r>
              <w:rPr>
                <w:rFonts w:hint="eastAsia" w:ascii="仿宋_GB2312" w:eastAsia="仿宋_GB2312"/>
                <w:color w:val="auto"/>
                <w:sz w:val="21"/>
                <w:szCs w:val="21"/>
                <w:highlight w:val="none"/>
                <w:lang w:val="en-US" w:eastAsia="zh-CN"/>
              </w:rPr>
              <w:t>社区综合服务设施用地、</w:t>
            </w:r>
            <w:r>
              <w:rPr>
                <w:rFonts w:hint="default" w:ascii="仿宋_GB2312" w:eastAsia="仿宋_GB2312"/>
                <w:color w:val="auto"/>
                <w:sz w:val="21"/>
                <w:szCs w:val="21"/>
                <w:highlight w:val="none"/>
                <w:lang w:val="en-US" w:eastAsia="zh-CN"/>
              </w:rPr>
              <w:t>A514</w:t>
            </w:r>
            <w:r>
              <w:rPr>
                <w:rFonts w:hint="eastAsia" w:ascii="仿宋_GB2312" w:eastAsia="仿宋_GB2312"/>
                <w:color w:val="auto"/>
                <w:sz w:val="21"/>
                <w:szCs w:val="21"/>
                <w:highlight w:val="none"/>
                <w:lang w:val="en-US" w:eastAsia="zh-CN"/>
              </w:rPr>
              <w:t>社区卫生服务中心用地、</w:t>
            </w:r>
            <w:r>
              <w:rPr>
                <w:rFonts w:hint="default" w:ascii="仿宋_GB2312" w:eastAsia="仿宋_GB2312"/>
                <w:color w:val="auto"/>
                <w:sz w:val="21"/>
                <w:szCs w:val="21"/>
                <w:highlight w:val="none"/>
                <w:lang w:val="en-US" w:eastAsia="zh-CN"/>
              </w:rPr>
              <w:t>A334</w:t>
            </w:r>
            <w:r>
              <w:rPr>
                <w:rFonts w:hint="eastAsia" w:ascii="仿宋_GB2312" w:eastAsia="仿宋_GB2312"/>
                <w:color w:val="auto"/>
                <w:sz w:val="21"/>
                <w:szCs w:val="21"/>
                <w:highlight w:val="none"/>
                <w:lang w:val="en-US" w:eastAsia="zh-CN"/>
              </w:rPr>
              <w:t>托幼用地</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vAlign w:val="center"/>
          </w:tcPr>
          <w:p>
            <w:pPr>
              <w:spacing w:line="240" w:lineRule="auto"/>
              <w:jc w:val="center"/>
              <w:rPr>
                <w:rFonts w:hint="default" w:ascii="Times New Roman" w:hAnsi="Times New Roman" w:eastAsia="仿宋_GB2312" w:cs="Times New Roman"/>
                <w:color w:val="auto"/>
                <w:spacing w:val="-4"/>
                <w:kern w:val="15"/>
                <w:sz w:val="24"/>
                <w:szCs w:val="24"/>
                <w:highlight w:val="none"/>
                <w:lang w:val="en-US" w:eastAsia="zh-CN" w:bidi="ar-SA"/>
              </w:rPr>
            </w:pPr>
            <w:r>
              <w:rPr>
                <w:rFonts w:hint="default" w:ascii="Times New Roman" w:hAnsi="Times New Roman" w:eastAsia="仿宋_GB2312" w:cs="Times New Roman"/>
                <w:color w:val="auto"/>
                <w:spacing w:val="-4"/>
                <w:kern w:val="15"/>
                <w:sz w:val="24"/>
                <w:szCs w:val="24"/>
                <w:highlight w:val="none"/>
                <w:lang w:val="en-US" w:eastAsia="zh-CN" w:bidi="ar-SA"/>
              </w:rPr>
              <w:t>156998.511</w:t>
            </w:r>
          </w:p>
        </w:tc>
        <w:tc>
          <w:tcPr>
            <w:tcW w:w="1739" w:type="dxa"/>
            <w:vAlign w:val="center"/>
          </w:tcPr>
          <w:p>
            <w:pPr>
              <w:spacing w:line="240" w:lineRule="auto"/>
              <w:jc w:val="center"/>
              <w:rPr>
                <w:rFonts w:hint="default" w:ascii="Times New Roman" w:hAnsi="Times New Roman" w:eastAsia="仿宋_GB2312" w:cs="Times New Roman"/>
                <w:color w:val="auto"/>
                <w:spacing w:val="-4"/>
                <w:kern w:val="15"/>
                <w:sz w:val="24"/>
                <w:szCs w:val="24"/>
                <w:highlight w:val="none"/>
                <w:lang w:val="en-US" w:eastAsia="zh-CN" w:bidi="ar-SA"/>
              </w:rPr>
            </w:pPr>
            <w:r>
              <w:rPr>
                <w:rFonts w:hint="default" w:ascii="Times New Roman" w:hAnsi="Times New Roman" w:eastAsia="仿宋_GB2312" w:cs="Times New Roman"/>
                <w:color w:val="auto"/>
                <w:spacing w:val="-4"/>
                <w:kern w:val="15"/>
                <w:sz w:val="24"/>
                <w:szCs w:val="24"/>
                <w:highlight w:val="none"/>
                <w:lang w:val="en-US" w:eastAsia="zh-CN" w:bidi="ar-SA"/>
              </w:rPr>
              <w:t>282977.15</w:t>
            </w: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default" w:ascii="Times New Roman" w:hAnsi="Times New Roman" w:eastAsia="仿宋_GB2312" w:cs="Times New Roman"/>
          <w:color w:val="auto"/>
          <w:sz w:val="28"/>
          <w:highlight w:val="none"/>
          <w:lang w:val="en-US" w:eastAsia="zh-CN"/>
        </w:rPr>
        <w:t>1120000</w:t>
      </w:r>
      <w:r>
        <w:rPr>
          <w:rFonts w:hint="default" w:ascii="Times New Roman" w:hAnsi="Times New Roman" w:eastAsia="仿宋_GB2312" w:cs="Times New Roman"/>
          <w:color w:val="auto"/>
          <w:sz w:val="28"/>
          <w:highlight w:val="none"/>
        </w:rPr>
        <w:t xml:space="preserve">万元，竞价阶梯为人民币   </w:t>
      </w:r>
      <w:r>
        <w:rPr>
          <w:rFonts w:hint="default" w:ascii="Times New Roman" w:hAnsi="Times New Roman" w:eastAsia="仿宋_GB2312" w:cs="Times New Roman"/>
          <w:color w:val="auto"/>
          <w:sz w:val="28"/>
          <w:highlight w:val="none"/>
          <w:lang w:val="en-US" w:eastAsia="zh-CN"/>
        </w:rPr>
        <w:t>5600</w:t>
      </w:r>
      <w:r>
        <w:rPr>
          <w:rFonts w:hint="default" w:ascii="Times New Roman" w:hAnsi="Times New Roman" w:eastAsia="仿宋_GB2312" w:cs="Times New Roman"/>
          <w:color w:val="auto"/>
          <w:sz w:val="28"/>
          <w:highlight w:val="none"/>
        </w:rPr>
        <w:t>万元整，竞买保证金为人民币</w:t>
      </w:r>
      <w:r>
        <w:rPr>
          <w:rFonts w:hint="default" w:ascii="Times New Roman" w:hAnsi="Times New Roman" w:eastAsia="仿宋_GB2312" w:cs="Times New Roman"/>
          <w:color w:val="auto"/>
          <w:sz w:val="28"/>
          <w:highlight w:val="none"/>
          <w:lang w:val="en-US" w:eastAsia="zh-CN"/>
        </w:rPr>
        <w:t>224000</w:t>
      </w:r>
      <w:r>
        <w:rPr>
          <w:rFonts w:hint="default" w:ascii="Times New Roman" w:hAnsi="Times New Roman" w:eastAsia="仿宋_GB2312" w:cs="Times New Roman"/>
          <w:color w:val="auto"/>
          <w:sz w:val="28"/>
          <w:highlight w:val="none"/>
        </w:rPr>
        <w:t>万元。</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集团成员企业不得同时报名竞买同一宗地；联合竞买的，同一集团成员企业仅可组成一个联合体参与同一宗地竞买。同一集团成员企业包括但不限于：与集团公司存在关联关系的公司</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含全资公司、控股公司</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竞买人资格核查事宜具体如下：</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（1）查询路径。通过国家企业信用信息公示系统及“企查查”APP进行查询。</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（2）核查原则。在受理预申请资格与竞买资格时，以预申请保证金和竞买保证金先到账者为准。</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（3）现场公示。摇号阶段，将在现场公示参与摇号的竞买人名单。</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eastAsia="zh-CN"/>
        </w:rPr>
        <w:t>1288000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1、在宗地竞买期限内要求撤回其竞买报价的;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2、提供虚假证明文件或隐瞒事实的；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3、逾期未签订《国有建设用地使用权出让合同》的、逾期未签订《土地开发建设补偿协议》的（若逾期未签订以上有关合同、协议是由于不可抗力造成的，则本条款不适用）；</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4、所交竞买保证金及竞得后支付的全部地价款资金来源与承诺不符或违反规定的；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5、不配合相关部门对其地价款来源进行取证、审查等工作的；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6、违反挂牌文件中对于竞买人资格要求的；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7、未满足项目最低品质保障要求进行开发建设的；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8、在房地产开发、建设、销售等过程中，被查实存在违法违规行为，或由于企业原因出现群诉群访等重大事件和负面舆情的； </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9、违反《房屋售价承诺书》、《高标准住宅建设承诺书》及《参加现场摇号活动申请书》相关内容的；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10、未遵守本挂牌交易文件的其他有关规定的。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竞得人违反相关自我承诺内容，或有上述任一违约行为的，出让人可取消其竞得资格</w:t>
      </w:r>
      <w:r>
        <w:rPr>
          <w:rFonts w:hint="default" w:ascii="Times New Roman" w:hAnsi="Times New Roman" w:eastAsia="仿宋_GB2312" w:cs="Times New Roman"/>
          <w:color w:val="auto"/>
          <w:sz w:val="28"/>
          <w:highlight w:val="none"/>
        </w:rPr>
        <w:t>。竞得人须承担相应的经济责任和法律责任，造成损失的，竞得人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及其股东、控股的各个企业一年内不得参加北京市土地竞买活动，出让人将竞得人违约行为及处理结果向社会公告。</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5月7</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6</w:t>
      </w:r>
      <w:r>
        <w:rPr>
          <w:rFonts w:hint="default" w:ascii="Times New Roman" w:hAnsi="Times New Roman" w:eastAsia="仿宋_GB2312" w:cs="Times New Roman"/>
          <w:color w:val="auto"/>
          <w:sz w:val="28"/>
          <w:highlight w:val="none"/>
          <w:lang w:val="en-US" w:eastAsia="zh-CN"/>
        </w:rPr>
        <w:t>月12</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lang w:val="en-US" w:eastAsia="zh-CN"/>
        </w:rPr>
        <w:t>月29</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6月13</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5月7</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6月12</w:t>
      </w:r>
      <w:r>
        <w:rPr>
          <w:rFonts w:hint="default" w:ascii="Times New Roman" w:hAnsi="Times New Roman" w:eastAsia="仿宋_GB2312" w:cs="Times New Roman"/>
          <w:color w:val="auto"/>
          <w:sz w:val="28"/>
          <w:highlight w:val="none"/>
        </w:rPr>
        <w:t>日，每工作日上午9:30-12:00，下午14:30-17:00，电话：010-55597352、010-55597351。</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p>
    <w:p>
      <w:pPr>
        <w:pStyle w:val="4"/>
        <w:tabs>
          <w:tab w:val="left" w:pos="1429"/>
          <w:tab w:val="left" w:pos="1785"/>
        </w:tabs>
        <w:spacing w:before="62" w:beforeLines="20" w:after="62" w:afterLines="20" w:line="240" w:lineRule="auto"/>
        <w:rPr>
          <w:rFonts w:hint="default" w:ascii="Times New Roman" w:hAnsi="Times New Roman" w:eastAsia="仿宋_GB2312" w:cs="Times New Roman"/>
          <w:color w:val="auto"/>
          <w:sz w:val="28"/>
          <w:highlight w:val="none"/>
        </w:rPr>
      </w:pP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联系方式</w:t>
      </w:r>
      <w:r>
        <w:rPr>
          <w:rFonts w:hint="eastAsia" w:ascii="Times New Roman" w:hAnsi="Times New Roman" w:eastAsia="仿宋_GB2312" w:cs="Times New Roman"/>
          <w:color w:val="auto"/>
          <w:sz w:val="28"/>
          <w:highlight w:val="none"/>
          <w:lang w:eastAsia="zh-CN"/>
        </w:rPr>
        <w:t>：</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1、北京市规划和自然资源委员会</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联系方式（项目咨询）：010-55595193、55595190</w:t>
      </w:r>
    </w:p>
    <w:p>
      <w:pPr>
        <w:pStyle w:val="4"/>
        <w:spacing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2、北京市公共资源交易中心</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line="240" w:lineRule="auto"/>
        <w:ind w:firstLine="56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line="240" w:lineRule="auto"/>
        <w:ind w:right="-108" w:firstLine="560"/>
        <w:jc w:val="left"/>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3、</w:t>
      </w:r>
      <w:r>
        <w:rPr>
          <w:rFonts w:hint="default" w:ascii="Times New Roman" w:hAnsi="Times New Roman" w:eastAsia="仿宋_GB2312" w:cs="Times New Roman"/>
          <w:color w:val="auto"/>
          <w:sz w:val="28"/>
          <w:highlight w:val="none"/>
        </w:rPr>
        <w:t>北京市</w:t>
      </w:r>
      <w:r>
        <w:rPr>
          <w:rFonts w:hint="eastAsia" w:ascii="Times New Roman" w:hAnsi="Times New Roman" w:eastAsia="仿宋_GB2312" w:cs="Times New Roman"/>
          <w:color w:val="auto"/>
          <w:sz w:val="28"/>
          <w:highlight w:val="none"/>
          <w:lang w:eastAsia="zh-CN"/>
        </w:rPr>
        <w:t>朝阳</w:t>
      </w:r>
      <w:r>
        <w:rPr>
          <w:rFonts w:hint="default" w:ascii="Times New Roman" w:hAnsi="Times New Roman" w:eastAsia="仿宋_GB2312" w:cs="Times New Roman"/>
          <w:color w:val="auto"/>
          <w:sz w:val="28"/>
          <w:highlight w:val="none"/>
        </w:rPr>
        <w:t>区规划和自然资源综合事务中心</w:t>
      </w:r>
    </w:p>
    <w:p>
      <w:pPr>
        <w:spacing w:line="240" w:lineRule="auto"/>
        <w:ind w:right="-108" w:firstLine="56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w:t>
      </w:r>
      <w:r>
        <w:rPr>
          <w:rFonts w:hint="default" w:ascii="Times New Roman" w:hAnsi="Times New Roman" w:eastAsia="仿宋_GB2312" w:cs="Times New Roman"/>
          <w:color w:val="auto"/>
          <w:sz w:val="28"/>
          <w:highlight w:val="none"/>
          <w:lang w:val="en-US" w:eastAsia="zh-CN"/>
        </w:rPr>
        <w:t>方式（现场踏勘）</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val="en-US" w:eastAsia="zh-CN"/>
        </w:rPr>
        <w:t>57932000-2071</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p>
    <w:p>
      <w:pPr>
        <w:wordWrap w:val="0"/>
        <w:spacing w:line="240" w:lineRule="auto"/>
        <w:jc w:val="right"/>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57231"/>
    <w:rsid w:val="4EED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4">
    <w:name w:val="Body Text"/>
    <w:basedOn w:val="1"/>
    <w:uiPriority w:val="0"/>
    <w:pPr>
      <w:spacing w:after="120"/>
    </w:pPr>
  </w:style>
  <w:style w:type="paragraph" w:styleId="5">
    <w:name w:val="Body Text Indent 3"/>
    <w:basedOn w:val="1"/>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刘新伟</cp:lastModifiedBy>
  <dcterms:modified xsi:type="dcterms:W3CDTF">2024-05-07T01:25:36Z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AE0275743BB7495398E2FA5DA89C4A31</vt:lpwstr>
  </property>
</Properties>
</file>